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BF" w:rsidRPr="006A1EBF" w:rsidRDefault="007D6155" w:rsidP="006A1EBF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="006A1EBF"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proofErr w:type="gramEnd"/>
      <w:r w:rsidR="006A1EBF"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приказом ООО «ССК»</w:t>
      </w:r>
    </w:p>
    <w:p w:rsidR="006A1EBF" w:rsidRPr="006A1EBF" w:rsidRDefault="006A1EBF" w:rsidP="006A1EBF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>от __.__.20__  №</w:t>
      </w:r>
      <w:bookmarkEnd w:id="0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</w:t>
      </w:r>
    </w:p>
    <w:p w:rsidR="006A1EBF" w:rsidRDefault="006A1EBF" w:rsidP="006A1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A1EBF" w:rsidRPr="006A1EBF" w:rsidRDefault="006A1EBF" w:rsidP="006A1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1EBF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(ПРОЦЕССА) ООО «Сибирская сетевая компания»</w:t>
      </w:r>
    </w:p>
    <w:p w:rsidR="006A1EBF" w:rsidRPr="006A1EBF" w:rsidRDefault="006A1EBF" w:rsidP="006A1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EBF" w:rsidRPr="006A1EBF" w:rsidRDefault="006A1EBF" w:rsidP="006A1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EBF">
        <w:rPr>
          <w:rFonts w:ascii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920500" w:rsidRPr="00920500" w:rsidRDefault="00920500" w:rsidP="00920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0500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920500">
        <w:rPr>
          <w:rFonts w:ascii="Times New Roman" w:hAnsi="Times New Roman" w:cs="Times New Roman"/>
          <w:b/>
          <w:sz w:val="24"/>
          <w:szCs w:val="24"/>
        </w:rPr>
        <w:t xml:space="preserve"> устройств юридических лиц и индивидуальных предпринимателей</w:t>
      </w:r>
      <w:r w:rsidRPr="00920500">
        <w:rPr>
          <w:rFonts w:ascii="Times New Roman" w:hAnsi="Times New Roman" w:cs="Times New Roman"/>
          <w:b/>
          <w:sz w:val="24"/>
          <w:szCs w:val="24"/>
        </w:rPr>
        <w:br/>
        <w:t>с максимальной мощностью свыше 150 кВт до 670 кВт</w:t>
      </w:r>
    </w:p>
    <w:p w:rsidR="006A1EBF" w:rsidRPr="006A1EBF" w:rsidRDefault="006A1EBF" w:rsidP="006A1E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EBF" w:rsidRDefault="006A1EBF" w:rsidP="00B90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Pr="006A1EBF">
        <w:rPr>
          <w:rFonts w:ascii="Times New Roman" w:hAnsi="Times New Roman" w:cs="Times New Roman"/>
          <w:b/>
          <w:sz w:val="24"/>
          <w:szCs w:val="24"/>
        </w:rPr>
        <w:t>:</w:t>
      </w:r>
    </w:p>
    <w:p w:rsidR="00701A7D" w:rsidRPr="00D26658" w:rsidRDefault="00701A7D" w:rsidP="005A0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658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в целях технологического присоединения </w:t>
      </w:r>
      <w:r>
        <w:rPr>
          <w:rFonts w:ascii="Times New Roman" w:hAnsi="Times New Roman" w:cs="Times New Roman"/>
          <w:sz w:val="24"/>
          <w:szCs w:val="24"/>
        </w:rPr>
        <w:t>(далее - Заявитель</w:t>
      </w:r>
      <w:r w:rsidRPr="00D26658">
        <w:rPr>
          <w:rFonts w:ascii="Times New Roman" w:hAnsi="Times New Roman" w:cs="Times New Roman"/>
          <w:sz w:val="24"/>
          <w:szCs w:val="24"/>
        </w:rPr>
        <w:t xml:space="preserve">) по одному источнику энергоснабжения </w:t>
      </w:r>
      <w:proofErr w:type="spellStart"/>
      <w:r w:rsidRPr="00D2665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26658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составляет свыше 150 кВт и менее 670 кВт </w:t>
      </w:r>
      <w:r w:rsidRPr="00DE2844">
        <w:rPr>
          <w:rFonts w:ascii="Times New Roman" w:hAnsi="Times New Roman" w:cs="Times New Roman"/>
          <w:sz w:val="24"/>
          <w:szCs w:val="24"/>
        </w:rPr>
        <w:t xml:space="preserve">(с учетом ранее присоединенных в данной точке присоединения </w:t>
      </w:r>
      <w:proofErr w:type="spellStart"/>
      <w:r w:rsidRPr="00DE284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E2844">
        <w:rPr>
          <w:rFonts w:ascii="Times New Roman" w:hAnsi="Times New Roman" w:cs="Times New Roman"/>
          <w:sz w:val="24"/>
          <w:szCs w:val="24"/>
        </w:rPr>
        <w:t xml:space="preserve"> устройств)</w:t>
      </w:r>
    </w:p>
    <w:p w:rsidR="006A1EBF" w:rsidRPr="006A1EBF" w:rsidRDefault="006A1EBF" w:rsidP="00944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её взимания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9952FA" w:rsidRDefault="00E15EEC" w:rsidP="00995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952FA" w:rsidRPr="00DE2844">
        <w:rPr>
          <w:rFonts w:ascii="Times New Roman" w:hAnsi="Times New Roman" w:cs="Times New Roman"/>
          <w:sz w:val="24"/>
          <w:szCs w:val="24"/>
        </w:rPr>
        <w:t xml:space="preserve">азмер платы за технологическое присоединение </w:t>
      </w:r>
      <w:proofErr w:type="spellStart"/>
      <w:r w:rsidR="009952FA" w:rsidRPr="00DE284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9952FA" w:rsidRPr="00DE2844">
        <w:rPr>
          <w:rFonts w:ascii="Times New Roman" w:hAnsi="Times New Roman" w:cs="Times New Roman"/>
          <w:sz w:val="24"/>
          <w:szCs w:val="24"/>
        </w:rPr>
        <w:t xml:space="preserve"> устройств с максимальной мощностью </w:t>
      </w:r>
      <w:r w:rsidR="009952FA" w:rsidRPr="00D26658">
        <w:rPr>
          <w:rFonts w:ascii="Times New Roman" w:hAnsi="Times New Roman" w:cs="Times New Roman"/>
          <w:sz w:val="24"/>
          <w:szCs w:val="24"/>
        </w:rPr>
        <w:t>свыше 150 кВт и менее 670 к</w:t>
      </w:r>
      <w:proofErr w:type="gramStart"/>
      <w:r w:rsidR="009952FA" w:rsidRPr="00D26658">
        <w:rPr>
          <w:rFonts w:ascii="Times New Roman" w:hAnsi="Times New Roman" w:cs="Times New Roman"/>
          <w:sz w:val="24"/>
          <w:szCs w:val="24"/>
        </w:rPr>
        <w:t>Вт</w:t>
      </w:r>
      <w:r w:rsidR="009952FA" w:rsidRPr="00DE2844">
        <w:rPr>
          <w:rFonts w:ascii="Times New Roman" w:hAnsi="Times New Roman" w:cs="Times New Roman"/>
          <w:sz w:val="24"/>
          <w:szCs w:val="24"/>
        </w:rPr>
        <w:t xml:space="preserve"> вкл</w:t>
      </w:r>
      <w:proofErr w:type="gramEnd"/>
      <w:r w:rsidR="009952FA" w:rsidRPr="00DE2844">
        <w:rPr>
          <w:rFonts w:ascii="Times New Roman" w:hAnsi="Times New Roman" w:cs="Times New Roman"/>
          <w:sz w:val="24"/>
          <w:szCs w:val="24"/>
        </w:rPr>
        <w:t xml:space="preserve">ючительно рассчитывается исходя из величины максимальной мощности присоединяемых </w:t>
      </w:r>
      <w:proofErr w:type="spellStart"/>
      <w:r w:rsidR="009952FA" w:rsidRPr="00DE284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9952FA" w:rsidRPr="00DE2844">
        <w:rPr>
          <w:rFonts w:ascii="Times New Roman" w:hAnsi="Times New Roman" w:cs="Times New Roman"/>
          <w:sz w:val="24"/>
          <w:szCs w:val="24"/>
        </w:rPr>
        <w:t xml:space="preserve"> устройств с применением стандартизированных тарифных ставок, установленных уполномоченным органом исполнительной власти в области государ</w:t>
      </w:r>
      <w:r w:rsidR="009952FA">
        <w:rPr>
          <w:rFonts w:ascii="Times New Roman" w:hAnsi="Times New Roman" w:cs="Times New Roman"/>
          <w:sz w:val="24"/>
          <w:szCs w:val="24"/>
        </w:rPr>
        <w:t>ственного регулирования тарифов субъекта РФ.</w:t>
      </w:r>
      <w:r w:rsidR="009952FA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</w:p>
    <w:p w:rsidR="006A1EBF" w:rsidRPr="006A1EBF" w:rsidRDefault="006A1EBF" w:rsidP="006A1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885F39" w:rsidRPr="00D26658" w:rsidRDefault="00885F39" w:rsidP="00885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658">
        <w:rPr>
          <w:rFonts w:ascii="Times New Roman" w:hAnsi="Times New Roman" w:cs="Times New Roman"/>
          <w:sz w:val="24"/>
          <w:szCs w:val="24"/>
        </w:rPr>
        <w:t xml:space="preserve">намерение заявителя присоединить впервые вводимые в эксплуатацию, ранее присоединенные </w:t>
      </w:r>
      <w:proofErr w:type="spellStart"/>
      <w:r w:rsidRPr="00D26658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D26658">
        <w:rPr>
          <w:rFonts w:ascii="Times New Roman" w:hAnsi="Times New Roman" w:cs="Times New Roman"/>
          <w:sz w:val="24"/>
          <w:szCs w:val="24"/>
        </w:rPr>
        <w:t xml:space="preserve"> устройства и объекты электроэнергетики, максимальная мощность которых увеличивается, а также на случаи, при которых в отношении ранее присоединенных </w:t>
      </w:r>
      <w:proofErr w:type="spellStart"/>
      <w:r w:rsidRPr="00D2665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26658">
        <w:rPr>
          <w:rFonts w:ascii="Times New Roman" w:hAnsi="Times New Roman" w:cs="Times New Roman"/>
          <w:sz w:val="24"/>
          <w:szCs w:val="24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Pr="00D2665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26658">
        <w:rPr>
          <w:rFonts w:ascii="Times New Roman" w:hAnsi="Times New Roman" w:cs="Times New Roman"/>
          <w:sz w:val="24"/>
          <w:szCs w:val="24"/>
        </w:rPr>
        <w:t xml:space="preserve"> устройств.</w:t>
      </w:r>
      <w:proofErr w:type="gramEnd"/>
    </w:p>
    <w:p w:rsidR="00B90E87" w:rsidRPr="002D7B3E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FF3D90" w:rsidRPr="00383433" w:rsidRDefault="006A1EBF" w:rsidP="003834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EBF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присоединения </w:t>
      </w:r>
      <w:proofErr w:type="spellStart"/>
      <w:r w:rsidRPr="006A1EB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A1EBF">
        <w:rPr>
          <w:rFonts w:ascii="Times New Roman" w:hAnsi="Times New Roman" w:cs="Times New Roman"/>
          <w:sz w:val="24"/>
          <w:szCs w:val="24"/>
        </w:rPr>
        <w:t xml:space="preserve"> устройств Заявителя.</w:t>
      </w: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Общий срок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5A0F67" w:rsidRPr="00D26658" w:rsidRDefault="00C01746" w:rsidP="005A0F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5A0F67" w:rsidRPr="00D26658">
        <w:rPr>
          <w:rFonts w:ascii="Times New Roman" w:hAnsi="Times New Roman" w:cs="Times New Roman"/>
          <w:sz w:val="24"/>
          <w:szCs w:val="24"/>
        </w:rPr>
        <w:t xml:space="preserve">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="005A0F67" w:rsidRPr="00D26658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5A0F67" w:rsidRPr="00D26658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местности:</w:t>
      </w:r>
      <w:proofErr w:type="gramEnd"/>
    </w:p>
    <w:p w:rsidR="005A0F67" w:rsidRPr="005A0F67" w:rsidRDefault="005A0F67" w:rsidP="00EF0DEE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26658">
        <w:rPr>
          <w:rFonts w:ascii="Times New Roman" w:hAnsi="Times New Roman" w:cs="Times New Roman"/>
          <w:sz w:val="24"/>
          <w:szCs w:val="24"/>
        </w:rPr>
        <w:t xml:space="preserve">если от сетевой организации не требуется выполнение работ по строительству (реконструкции) объектов </w:t>
      </w:r>
      <w:proofErr w:type="spellStart"/>
      <w:r w:rsidRPr="00D2665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D26658">
        <w:rPr>
          <w:rFonts w:ascii="Times New Roman" w:hAnsi="Times New Roman" w:cs="Times New Roman"/>
          <w:sz w:val="24"/>
          <w:szCs w:val="24"/>
        </w:rPr>
        <w:t xml:space="preserve">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</w:r>
      <w:proofErr w:type="spellStart"/>
      <w:r w:rsidRPr="00D2665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D26658">
        <w:rPr>
          <w:rFonts w:ascii="Times New Roman" w:hAnsi="Times New Roman" w:cs="Times New Roman"/>
          <w:sz w:val="24"/>
          <w:szCs w:val="24"/>
        </w:rPr>
        <w:t xml:space="preserve"> </w:t>
      </w:r>
      <w:r w:rsidRPr="005A0F67">
        <w:rPr>
          <w:rFonts w:ascii="Times New Roman" w:hAnsi="Times New Roman" w:cs="Times New Roman"/>
          <w:sz w:val="24"/>
          <w:szCs w:val="24"/>
        </w:rPr>
        <w:t xml:space="preserve">хозяйства от существующих объектов </w:t>
      </w:r>
      <w:proofErr w:type="spellStart"/>
      <w:r w:rsidRPr="005A0F67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5A0F67">
        <w:rPr>
          <w:rFonts w:ascii="Times New Roman" w:hAnsi="Times New Roman" w:cs="Times New Roman"/>
          <w:sz w:val="24"/>
          <w:szCs w:val="24"/>
        </w:rPr>
        <w:t xml:space="preserve"> хозяйства до присоединяемых </w:t>
      </w:r>
      <w:proofErr w:type="spellStart"/>
      <w:r w:rsidRPr="005A0F6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A0F67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- 4 месяца с даты</w:t>
      </w:r>
      <w:proofErr w:type="gramEnd"/>
      <w:r w:rsidRPr="005A0F67">
        <w:rPr>
          <w:rFonts w:ascii="Times New Roman" w:hAnsi="Times New Roman" w:cs="Times New Roman"/>
          <w:sz w:val="24"/>
          <w:szCs w:val="24"/>
        </w:rPr>
        <w:t xml:space="preserve"> заключения договора;</w:t>
      </w:r>
    </w:p>
    <w:p w:rsidR="005A0F67" w:rsidRPr="00D26658" w:rsidRDefault="005A0F67" w:rsidP="00EF0DEE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0F67">
        <w:rPr>
          <w:rFonts w:ascii="Times New Roman" w:hAnsi="Times New Roman" w:cs="Times New Roman"/>
          <w:sz w:val="24"/>
          <w:szCs w:val="24"/>
        </w:rPr>
        <w:t xml:space="preserve">в иных случаях – 1 год </w:t>
      </w:r>
      <w:proofErr w:type="gramStart"/>
      <w:r w:rsidRPr="005A0F67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D26658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993">
        <w:rPr>
          <w:rFonts w:ascii="Times New Roman" w:hAnsi="Times New Roman" w:cs="Times New Roman"/>
          <w:sz w:val="24"/>
          <w:szCs w:val="24"/>
        </w:rPr>
        <w:t>(если более короткие сроки не предусмотрены инвестиционной программой соответствующей сетевой организации или соглашением сторон).</w:t>
      </w:r>
    </w:p>
    <w:p w:rsidR="00B90E87" w:rsidRDefault="00B90E87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3D90" w:rsidRDefault="00FF3D90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5EEC" w:rsidRDefault="00E15EE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5EEC" w:rsidRDefault="00E15EE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5EEC" w:rsidRDefault="00E15EE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5EEC" w:rsidRDefault="00E15EE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5EEC" w:rsidRDefault="00E15EE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5EEC" w:rsidRDefault="00E15EE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5EEC" w:rsidRDefault="00E15EE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12BA" w:rsidRDefault="00CC12BA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0E87" w:rsidRPr="00D6785C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0E87">
        <w:rPr>
          <w:rFonts w:ascii="Times New Roman" w:hAnsi="Times New Roman" w:cs="Times New Roman"/>
          <w:b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p w:rsidR="00D6785C" w:rsidRP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90"/>
        <w:gridCol w:w="2022"/>
        <w:gridCol w:w="2037"/>
        <w:gridCol w:w="2430"/>
        <w:gridCol w:w="2036"/>
        <w:gridCol w:w="2086"/>
        <w:gridCol w:w="3002"/>
      </w:tblGrid>
      <w:tr w:rsidR="00D6785C" w:rsidRPr="00D6785C" w:rsidTr="00D6785C">
        <w:trPr>
          <w:tblHeader/>
        </w:trPr>
        <w:tc>
          <w:tcPr>
            <w:tcW w:w="890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2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037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этапа</w:t>
            </w:r>
          </w:p>
        </w:tc>
        <w:tc>
          <w:tcPr>
            <w:tcW w:w="2430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36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</w:t>
            </w:r>
          </w:p>
        </w:tc>
        <w:tc>
          <w:tcPr>
            <w:tcW w:w="2086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002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нормативно-правовой акт</w:t>
            </w:r>
          </w:p>
        </w:tc>
      </w:tr>
      <w:tr w:rsidR="00D6785C" w:rsidRPr="00D6785C" w:rsidTr="00F27F57">
        <w:tc>
          <w:tcPr>
            <w:tcW w:w="890" w:type="dxa"/>
            <w:vMerge w:val="restart"/>
          </w:tcPr>
          <w:p w:rsidR="00D6785C" w:rsidRPr="002E7CA1" w:rsidRDefault="00D6785C" w:rsidP="00F27F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C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22" w:type="dxa"/>
            <w:vMerge w:val="restart"/>
          </w:tcPr>
          <w:p w:rsidR="00D6785C" w:rsidRPr="00D6785C" w:rsidRDefault="00D6785C" w:rsidP="002E7CA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2037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Заявитель подает заявку на технологическое присоединение</w:t>
            </w:r>
          </w:p>
        </w:tc>
        <w:tc>
          <w:tcPr>
            <w:tcW w:w="2036" w:type="dxa"/>
            <w:vAlign w:val="center"/>
          </w:tcPr>
          <w:p w:rsidR="00D6785C" w:rsidRPr="00D6785C" w:rsidRDefault="00D6785C" w:rsidP="00D6785C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обращение заявителя с заявкой в офисе компании,</w:t>
            </w:r>
          </w:p>
          <w:p w:rsidR="00D6785C" w:rsidRPr="00D94179" w:rsidRDefault="00D6785C" w:rsidP="00D94179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обращение с заявкой заказным письмом с уведомлением</w:t>
            </w:r>
          </w:p>
        </w:tc>
        <w:tc>
          <w:tcPr>
            <w:tcW w:w="2086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ограничен</w:t>
            </w:r>
          </w:p>
        </w:tc>
        <w:tc>
          <w:tcPr>
            <w:tcW w:w="3002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Пункты  </w:t>
            </w:r>
            <w:r w:rsidR="00091676">
              <w:rPr>
                <w:rFonts w:ascii="Times New Roman" w:hAnsi="Times New Roman" w:cs="Times New Roman"/>
                <w:sz w:val="20"/>
                <w:szCs w:val="20"/>
              </w:rPr>
              <w:t>8, 9, 10, 12</w:t>
            </w:r>
            <w:r w:rsidRPr="002D7B3E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  <w:r w:rsidRPr="00D6785C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6785C" w:rsidRPr="00D6785C" w:rsidTr="002E7CA1">
        <w:tc>
          <w:tcPr>
            <w:tcW w:w="890" w:type="dxa"/>
            <w:vMerge/>
            <w:vAlign w:val="center"/>
          </w:tcPr>
          <w:p w:rsidR="00D6785C" w:rsidRPr="002E7CA1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D6785C" w:rsidRPr="00D6785C" w:rsidRDefault="00D6785C" w:rsidP="002E7CA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2430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2036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рабочих дней после получения заявки</w:t>
            </w:r>
          </w:p>
        </w:tc>
        <w:tc>
          <w:tcPr>
            <w:tcW w:w="3002" w:type="dxa"/>
            <w:vAlign w:val="center"/>
          </w:tcPr>
          <w:p w:rsidR="00D6785C" w:rsidRPr="00D6785C" w:rsidRDefault="00D6785C" w:rsidP="002D7B3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 w:rsidR="002D7B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27F57" w:rsidRPr="00D6785C" w:rsidTr="00F27F57">
        <w:tc>
          <w:tcPr>
            <w:tcW w:w="890" w:type="dxa"/>
            <w:vMerge w:val="restart"/>
          </w:tcPr>
          <w:p w:rsidR="00F27F57" w:rsidRPr="002E7CA1" w:rsidRDefault="00F27F57" w:rsidP="00F27F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CA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22" w:type="dxa"/>
            <w:vMerge w:val="restart"/>
          </w:tcPr>
          <w:p w:rsidR="00F27F57" w:rsidRPr="00D6785C" w:rsidRDefault="00F27F57" w:rsidP="002E7CA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2037" w:type="dxa"/>
            <w:vAlign w:val="center"/>
          </w:tcPr>
          <w:p w:rsidR="00F27F57" w:rsidRPr="00D6785C" w:rsidRDefault="00F27F57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F27F57" w:rsidRPr="00D6785C" w:rsidRDefault="00F27F57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</w:t>
            </w:r>
            <w:r w:rsidRPr="00AB2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Направление (выдача при очном посещении офиса компании)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2036" w:type="dxa"/>
            <w:vAlign w:val="center"/>
          </w:tcPr>
          <w:p w:rsidR="00F27F57" w:rsidRPr="00D6785C" w:rsidRDefault="00F27F57" w:rsidP="00D6785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получения, или выдача заявителю в офисе компании</w:t>
            </w:r>
          </w:p>
        </w:tc>
        <w:tc>
          <w:tcPr>
            <w:tcW w:w="2086" w:type="dxa"/>
            <w:vAlign w:val="center"/>
          </w:tcPr>
          <w:p w:rsidR="00F27F57" w:rsidRPr="00D6785C" w:rsidRDefault="00F27F57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дней со дня  получения заявки; </w:t>
            </w:r>
          </w:p>
          <w:p w:rsidR="00F27F57" w:rsidRPr="00D6785C" w:rsidRDefault="00F27F57" w:rsidP="00D6785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 отсутствия сведений  (документов) 30 дней </w:t>
            </w:r>
            <w:proofErr w:type="gramStart"/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 получения</w:t>
            </w:r>
            <w:proofErr w:type="gramEnd"/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недостающих сведений</w:t>
            </w:r>
          </w:p>
        </w:tc>
        <w:tc>
          <w:tcPr>
            <w:tcW w:w="3002" w:type="dxa"/>
            <w:vAlign w:val="center"/>
          </w:tcPr>
          <w:p w:rsidR="00F27F57" w:rsidRPr="00D6785C" w:rsidRDefault="00F27F57" w:rsidP="00D6785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27F57" w:rsidRPr="00D6785C" w:rsidTr="00D6785C">
        <w:tc>
          <w:tcPr>
            <w:tcW w:w="890" w:type="dxa"/>
            <w:vMerge/>
            <w:vAlign w:val="center"/>
          </w:tcPr>
          <w:p w:rsidR="00F27F57" w:rsidRPr="00D6785C" w:rsidRDefault="00F27F57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F27F57" w:rsidRPr="00D6785C" w:rsidRDefault="00F27F57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F27F57" w:rsidRPr="00D6785C" w:rsidRDefault="00F27F57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F27F57" w:rsidRPr="00D6785C" w:rsidRDefault="00F27F57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П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одписание заявителем двух  экземпляров проекта договора и направление   (представляет в офис компании)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2036" w:type="dxa"/>
          </w:tcPr>
          <w:p w:rsidR="00F27F57" w:rsidRPr="00D6785C" w:rsidRDefault="00F27F57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</w:tcPr>
          <w:p w:rsidR="00F27F57" w:rsidRPr="00D6785C" w:rsidRDefault="00F27F57" w:rsidP="007D615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дней со  дня получения заявителем проекта договора.</w:t>
            </w:r>
          </w:p>
          <w:p w:rsidR="00F27F57" w:rsidRPr="00D6785C" w:rsidRDefault="00F27F57" w:rsidP="007D615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</w:t>
            </w:r>
            <w:proofErr w:type="spellStart"/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ненаправления</w:t>
            </w:r>
            <w:proofErr w:type="spellEnd"/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подписанного проекта договора,  либо мотивированного отказа от его подписания через 60 дней  –  заявка аннулируется.</w:t>
            </w:r>
          </w:p>
        </w:tc>
        <w:tc>
          <w:tcPr>
            <w:tcW w:w="3002" w:type="dxa"/>
          </w:tcPr>
          <w:p w:rsidR="00F27F57" w:rsidRPr="00D6785C" w:rsidRDefault="00F27F57" w:rsidP="00D6785C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27F57" w:rsidRPr="00D6785C" w:rsidTr="00D6785C">
        <w:tc>
          <w:tcPr>
            <w:tcW w:w="890" w:type="dxa"/>
            <w:vMerge/>
          </w:tcPr>
          <w:p w:rsidR="00F27F57" w:rsidRPr="00D6785C" w:rsidRDefault="00F27F57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F27F57" w:rsidRPr="00D6785C" w:rsidRDefault="00F27F57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F27F57" w:rsidRPr="00D6785C" w:rsidRDefault="00F27F57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F27F57" w:rsidRPr="00D6785C" w:rsidRDefault="00F27F57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2.3 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(выдача при очном посещении офиса компании)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2036" w:type="dxa"/>
          </w:tcPr>
          <w:p w:rsidR="00F27F57" w:rsidRPr="00D6785C" w:rsidRDefault="00F27F57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086" w:type="dxa"/>
          </w:tcPr>
          <w:p w:rsidR="00F27F57" w:rsidRPr="00D6785C" w:rsidRDefault="00F27F57" w:rsidP="007D615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рабочих дней </w:t>
            </w:r>
            <w:proofErr w:type="gramStart"/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присоединения</w:t>
            </w:r>
          </w:p>
        </w:tc>
        <w:tc>
          <w:tcPr>
            <w:tcW w:w="3002" w:type="dxa"/>
          </w:tcPr>
          <w:p w:rsidR="00F27F57" w:rsidRPr="00D6785C" w:rsidRDefault="00F27F57" w:rsidP="00D6785C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27F57" w:rsidRPr="00D6785C" w:rsidTr="00D6785C">
        <w:tc>
          <w:tcPr>
            <w:tcW w:w="890" w:type="dxa"/>
            <w:vMerge/>
          </w:tcPr>
          <w:p w:rsidR="00F27F57" w:rsidRPr="00D6785C" w:rsidRDefault="00F27F57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F27F57" w:rsidRPr="00D6785C" w:rsidRDefault="00F27F57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F27F57" w:rsidRPr="00D6785C" w:rsidRDefault="00F27F57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F27F57" w:rsidRPr="00D6785C" w:rsidRDefault="00F27F57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2036" w:type="dxa"/>
          </w:tcPr>
          <w:p w:rsidR="00F27F57" w:rsidRPr="00D6785C" w:rsidRDefault="00F27F57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 письменной или электронной форме</w:t>
            </w:r>
          </w:p>
          <w:p w:rsidR="00F27F57" w:rsidRPr="00D6785C" w:rsidRDefault="00F27F57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</w:tcPr>
          <w:p w:rsidR="00F27F57" w:rsidRPr="00D6785C" w:rsidRDefault="00F27F57" w:rsidP="007D615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2 рабочих дней </w:t>
            </w:r>
            <w:proofErr w:type="gramStart"/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</w:t>
            </w:r>
          </w:p>
        </w:tc>
        <w:tc>
          <w:tcPr>
            <w:tcW w:w="3002" w:type="dxa"/>
          </w:tcPr>
          <w:p w:rsidR="00F27F57" w:rsidRPr="00D6785C" w:rsidRDefault="00F27F57" w:rsidP="00D6785C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E7BA0" w:rsidRPr="00D6785C" w:rsidTr="00F27F57">
        <w:tc>
          <w:tcPr>
            <w:tcW w:w="890" w:type="dxa"/>
            <w:vMerge w:val="restart"/>
          </w:tcPr>
          <w:p w:rsidR="006E7BA0" w:rsidRPr="002E7CA1" w:rsidRDefault="006E7BA0" w:rsidP="00F27F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CA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22" w:type="dxa"/>
            <w:vMerge w:val="restart"/>
          </w:tcPr>
          <w:p w:rsidR="006E7BA0" w:rsidRPr="00D6785C" w:rsidRDefault="006E7BA0" w:rsidP="002E7CA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2037" w:type="dxa"/>
            <w:vMerge w:val="restart"/>
          </w:tcPr>
          <w:p w:rsidR="006E7BA0" w:rsidRPr="00D6785C" w:rsidRDefault="006E7BA0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2430" w:type="dxa"/>
          </w:tcPr>
          <w:p w:rsidR="006E7BA0" w:rsidRPr="00D6785C" w:rsidRDefault="006E7BA0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2036" w:type="dxa"/>
          </w:tcPr>
          <w:p w:rsidR="006E7BA0" w:rsidRPr="00D6785C" w:rsidRDefault="006E7BA0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</w:tcPr>
          <w:p w:rsidR="006E7BA0" w:rsidRPr="00D6785C" w:rsidRDefault="006E7BA0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3002" w:type="dxa"/>
            <w:vMerge w:val="restart"/>
            <w:vAlign w:val="center"/>
          </w:tcPr>
          <w:p w:rsidR="006E7BA0" w:rsidRPr="00D6785C" w:rsidRDefault="006E7BA0" w:rsidP="00B67D17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15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E7BA0" w:rsidRPr="00D6785C" w:rsidTr="00D6785C">
        <w:tc>
          <w:tcPr>
            <w:tcW w:w="890" w:type="dxa"/>
            <w:vMerge/>
          </w:tcPr>
          <w:p w:rsidR="006E7BA0" w:rsidRPr="00D6785C" w:rsidRDefault="006E7BA0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6E7BA0" w:rsidRPr="00D6785C" w:rsidRDefault="006E7BA0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6E7BA0" w:rsidRPr="00D6785C" w:rsidRDefault="006E7BA0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6E7BA0" w:rsidRPr="00D6785C" w:rsidRDefault="006E7BA0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2036" w:type="dxa"/>
          </w:tcPr>
          <w:p w:rsidR="006E7BA0" w:rsidRPr="00D6785C" w:rsidRDefault="006E7BA0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</w:tcPr>
          <w:p w:rsidR="006E7BA0" w:rsidRPr="00D6785C" w:rsidRDefault="006E7BA0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3002" w:type="dxa"/>
            <w:vMerge/>
          </w:tcPr>
          <w:p w:rsidR="006E7BA0" w:rsidRPr="00D6785C" w:rsidRDefault="006E7BA0" w:rsidP="00D6785C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BA0" w:rsidRPr="00D6785C" w:rsidTr="00D6785C">
        <w:tc>
          <w:tcPr>
            <w:tcW w:w="890" w:type="dxa"/>
            <w:vMerge/>
          </w:tcPr>
          <w:p w:rsidR="006E7BA0" w:rsidRPr="00D6785C" w:rsidRDefault="006E7BA0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6E7BA0" w:rsidRPr="00D6785C" w:rsidRDefault="006E7BA0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6E7BA0" w:rsidRPr="00D6785C" w:rsidRDefault="006E7BA0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6E7BA0" w:rsidRPr="00D6785C" w:rsidRDefault="006E7BA0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3.3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Выполнение заявителем мероприятий, предусмотренных договором</w:t>
            </w:r>
          </w:p>
        </w:tc>
        <w:tc>
          <w:tcPr>
            <w:tcW w:w="2036" w:type="dxa"/>
          </w:tcPr>
          <w:p w:rsidR="006E7BA0" w:rsidRPr="00D6785C" w:rsidRDefault="006E7BA0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</w:tcPr>
          <w:p w:rsidR="006E7BA0" w:rsidRPr="00D6785C" w:rsidRDefault="006E7BA0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3002" w:type="dxa"/>
            <w:vMerge/>
          </w:tcPr>
          <w:p w:rsidR="006E7BA0" w:rsidRPr="00D6785C" w:rsidRDefault="006E7BA0" w:rsidP="00D6785C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BA0" w:rsidRPr="00D6785C" w:rsidTr="00D6785C">
        <w:tc>
          <w:tcPr>
            <w:tcW w:w="890" w:type="dxa"/>
            <w:vMerge/>
          </w:tcPr>
          <w:p w:rsidR="006E7BA0" w:rsidRPr="00D6785C" w:rsidRDefault="006E7BA0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6E7BA0" w:rsidRPr="00D6785C" w:rsidRDefault="006E7BA0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6E7BA0" w:rsidRPr="00D6785C" w:rsidRDefault="006E7BA0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6E7BA0" w:rsidRPr="00D6785C" w:rsidRDefault="006E7BA0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3.4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:rsidR="006E7BA0" w:rsidRPr="00D6785C" w:rsidRDefault="006E7BA0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</w:tcPr>
          <w:p w:rsidR="006E7BA0" w:rsidRPr="00D6785C" w:rsidRDefault="006E7BA0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уведомление о выполнении технических условий с приложением необходимых документов </w:t>
            </w:r>
          </w:p>
        </w:tc>
        <w:tc>
          <w:tcPr>
            <w:tcW w:w="2086" w:type="dxa"/>
          </w:tcPr>
          <w:p w:rsidR="006E7BA0" w:rsidRPr="00D6785C" w:rsidRDefault="006E7BA0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После выполнения технических условий</w:t>
            </w:r>
          </w:p>
        </w:tc>
        <w:tc>
          <w:tcPr>
            <w:tcW w:w="3002" w:type="dxa"/>
          </w:tcPr>
          <w:p w:rsidR="006E7BA0" w:rsidRPr="00D6785C" w:rsidRDefault="006E7BA0" w:rsidP="00D6785C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01E85" w:rsidRPr="00D6785C" w:rsidTr="00F27F57">
        <w:tc>
          <w:tcPr>
            <w:tcW w:w="890" w:type="dxa"/>
            <w:vMerge w:val="restart"/>
          </w:tcPr>
          <w:p w:rsidR="00601E85" w:rsidRPr="002E7CA1" w:rsidRDefault="00601E85" w:rsidP="00F27F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CA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22" w:type="dxa"/>
            <w:vMerge w:val="restart"/>
          </w:tcPr>
          <w:p w:rsidR="00601E85" w:rsidRPr="002E7CA1" w:rsidRDefault="00601E85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CA1">
              <w:rPr>
                <w:rFonts w:ascii="Times New Roman" w:hAnsi="Times New Roman" w:cs="Times New Roman"/>
                <w:sz w:val="20"/>
              </w:rPr>
              <w:t>Проверка выполнения технических условий</w:t>
            </w:r>
          </w:p>
        </w:tc>
        <w:tc>
          <w:tcPr>
            <w:tcW w:w="2037" w:type="dxa"/>
          </w:tcPr>
          <w:p w:rsidR="00601E85" w:rsidRPr="002E7CA1" w:rsidRDefault="00601E85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E7CA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tcW w:w="2430" w:type="dxa"/>
          </w:tcPr>
          <w:p w:rsidR="00601E85" w:rsidRPr="00D6785C" w:rsidRDefault="00601E85" w:rsidP="007D6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2036" w:type="dxa"/>
          </w:tcPr>
          <w:p w:rsidR="00601E85" w:rsidRPr="00D6785C" w:rsidRDefault="00C26E81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01E85" w:rsidRPr="00D6785C">
                <w:rPr>
                  <w:rFonts w:ascii="Times New Roman" w:hAnsi="Times New Roman" w:cs="Times New Roman"/>
                  <w:sz w:val="20"/>
                  <w:szCs w:val="20"/>
                </w:rPr>
                <w:t>Акт</w:t>
              </w:r>
            </w:hyperlink>
            <w:r w:rsidR="00601E85"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осмотра (обследования) электроустановки в письменной форме.</w:t>
            </w:r>
          </w:p>
          <w:p w:rsidR="00601E85" w:rsidRPr="00D6785C" w:rsidRDefault="00601E85" w:rsidP="00C57B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tcW w:w="2086" w:type="dxa"/>
          </w:tcPr>
          <w:p w:rsidR="00601E85" w:rsidRPr="00D6785C" w:rsidRDefault="00601E85" w:rsidP="007D6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 течение 10 дней со дня получения от заявителя документов</w:t>
            </w:r>
          </w:p>
        </w:tc>
        <w:tc>
          <w:tcPr>
            <w:tcW w:w="3002" w:type="dxa"/>
          </w:tcPr>
          <w:p w:rsidR="00601E85" w:rsidRPr="00D6785C" w:rsidRDefault="00601E85" w:rsidP="00D453A5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01E85" w:rsidRPr="00D6785C" w:rsidTr="00D6785C">
        <w:tc>
          <w:tcPr>
            <w:tcW w:w="890" w:type="dxa"/>
            <w:vMerge/>
          </w:tcPr>
          <w:p w:rsidR="00601E85" w:rsidRPr="002E7CA1" w:rsidRDefault="00601E85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601E85" w:rsidRPr="006A1EBF" w:rsidRDefault="00601E85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601E85" w:rsidRPr="002E7CA1" w:rsidRDefault="00601E85" w:rsidP="002E7C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2E7CA1">
              <w:rPr>
                <w:rFonts w:ascii="Times New Roman" w:hAnsi="Times New Roman" w:cs="Times New Roman"/>
                <w:sz w:val="20"/>
              </w:rPr>
              <w:t xml:space="preserve">В случаях присоединения по третьей категории надежности (по одному источнику электроснабжения) к электрическим сетям классом напряжения до 10 кВ включительно </w:t>
            </w:r>
          </w:p>
        </w:tc>
        <w:tc>
          <w:tcPr>
            <w:tcW w:w="2430" w:type="dxa"/>
          </w:tcPr>
          <w:p w:rsidR="00601E85" w:rsidRPr="002E7CA1" w:rsidRDefault="00601E85" w:rsidP="002E7C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CA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4.2.</w:t>
            </w:r>
            <w:r w:rsidRPr="002E7CA1">
              <w:rPr>
                <w:rFonts w:ascii="Times New Roman" w:hAnsi="Times New Roman" w:cs="Times New Roman"/>
                <w:sz w:val="20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заявителя, включая вводные распределительные устройства</w:t>
            </w:r>
          </w:p>
        </w:tc>
        <w:tc>
          <w:tcPr>
            <w:tcW w:w="2036" w:type="dxa"/>
          </w:tcPr>
          <w:p w:rsidR="00601E85" w:rsidRPr="002E7CA1" w:rsidRDefault="00601E85" w:rsidP="002E7C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2E7CA1">
              <w:rPr>
                <w:rFonts w:ascii="Times New Roman" w:hAnsi="Times New Roman" w:cs="Times New Roman"/>
                <w:sz w:val="20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601E85" w:rsidRPr="002E7CA1" w:rsidRDefault="00601E85" w:rsidP="002E7CA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86" w:type="dxa"/>
          </w:tcPr>
          <w:p w:rsidR="00601E85" w:rsidRPr="002E7CA1" w:rsidRDefault="00601E85" w:rsidP="002E7C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2E7CA1">
              <w:rPr>
                <w:rFonts w:ascii="Times New Roman" w:hAnsi="Times New Roman" w:cs="Times New Roman"/>
                <w:sz w:val="20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3002" w:type="dxa"/>
          </w:tcPr>
          <w:p w:rsidR="00601E85" w:rsidRPr="002E7CA1" w:rsidRDefault="00601E85" w:rsidP="002E7CA1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</w:rPr>
            </w:pPr>
            <w:r w:rsidRPr="002E7CA1">
              <w:rPr>
                <w:rFonts w:ascii="Times New Roman" w:hAnsi="Times New Roman" w:cs="Times New Roman"/>
                <w:sz w:val="20"/>
              </w:rPr>
              <w:t xml:space="preserve">Пункты 18(1), 18(2) Правил технологического присоединения </w:t>
            </w:r>
            <w:proofErr w:type="spellStart"/>
            <w:r w:rsidRPr="002E7CA1">
              <w:rPr>
                <w:rFonts w:ascii="Times New Roman" w:hAnsi="Times New Roman" w:cs="Times New Roman"/>
                <w:sz w:val="20"/>
              </w:rPr>
              <w:t>энергопринимающих</w:t>
            </w:r>
            <w:proofErr w:type="spellEnd"/>
            <w:r w:rsidRPr="002E7CA1">
              <w:rPr>
                <w:rFonts w:ascii="Times New Roman" w:hAnsi="Times New Roman" w:cs="Times New Roman"/>
                <w:sz w:val="20"/>
              </w:rPr>
              <w:t xml:space="preserve"> устройств потребителей электрической энергии</w:t>
            </w:r>
          </w:p>
        </w:tc>
      </w:tr>
      <w:tr w:rsidR="00601E85" w:rsidRPr="00D6785C" w:rsidTr="00D6785C">
        <w:tc>
          <w:tcPr>
            <w:tcW w:w="890" w:type="dxa"/>
            <w:vMerge/>
          </w:tcPr>
          <w:p w:rsidR="00601E85" w:rsidRPr="002E7CA1" w:rsidRDefault="00601E85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601E85" w:rsidRPr="00D6785C" w:rsidRDefault="00601E85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601E85" w:rsidRPr="006A1EBF" w:rsidRDefault="00601E85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EBF">
              <w:rPr>
                <w:rFonts w:ascii="Times New Roman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tcW w:w="2430" w:type="dxa"/>
          </w:tcPr>
          <w:p w:rsidR="00601E85" w:rsidRPr="00D6785C" w:rsidRDefault="00601E85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4.3</w:t>
            </w: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Повторный осмотр электроустановки заявителя</w:t>
            </w:r>
          </w:p>
        </w:tc>
        <w:tc>
          <w:tcPr>
            <w:tcW w:w="2036" w:type="dxa"/>
          </w:tcPr>
          <w:p w:rsidR="00601E85" w:rsidRPr="00D6785C" w:rsidRDefault="00C26E81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01E85" w:rsidRPr="00D6785C">
                <w:rPr>
                  <w:rFonts w:ascii="Times New Roman" w:hAnsi="Times New Roman" w:cs="Times New Roman"/>
                  <w:sz w:val="20"/>
                  <w:szCs w:val="20"/>
                </w:rPr>
                <w:t>Акт</w:t>
              </w:r>
            </w:hyperlink>
            <w:r w:rsidR="00601E85"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осмотра (обследования) электроустановки в письменной форме.</w:t>
            </w:r>
          </w:p>
          <w:p w:rsidR="00601E85" w:rsidRPr="00D6785C" w:rsidRDefault="00601E85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601E85" w:rsidRPr="00D6785C" w:rsidRDefault="00601E85" w:rsidP="007D6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3 рабочих дней после получения </w:t>
            </w:r>
            <w:proofErr w:type="gramStart"/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2" w:type="dxa"/>
          </w:tcPr>
          <w:p w:rsidR="00601E85" w:rsidRPr="00D6785C" w:rsidRDefault="00601E85" w:rsidP="007D6155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01E85" w:rsidRPr="00D6785C" w:rsidTr="00D6785C">
        <w:tc>
          <w:tcPr>
            <w:tcW w:w="890" w:type="dxa"/>
            <w:vMerge/>
          </w:tcPr>
          <w:p w:rsidR="00601E85" w:rsidRPr="002E7CA1" w:rsidRDefault="00601E85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601E85" w:rsidRPr="00D6785C" w:rsidRDefault="00601E85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601E85" w:rsidRPr="00D6785C" w:rsidRDefault="00601E85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601E85" w:rsidRPr="00D6785C" w:rsidRDefault="00601E85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4.4</w:t>
            </w: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Прием в эксплуатацию прибора учета. Подписание сторонами  и передача Акт допуска в эксплуатацию прибора учета.</w:t>
            </w:r>
          </w:p>
        </w:tc>
        <w:tc>
          <w:tcPr>
            <w:tcW w:w="2036" w:type="dxa"/>
          </w:tcPr>
          <w:p w:rsidR="00601E85" w:rsidRPr="00D6785C" w:rsidRDefault="00C26E81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601E85" w:rsidRPr="00D6785C">
                <w:rPr>
                  <w:rFonts w:ascii="Times New Roman" w:hAnsi="Times New Roman" w:cs="Times New Roman"/>
                  <w:sz w:val="20"/>
                  <w:szCs w:val="20"/>
                </w:rPr>
                <w:t>Акт</w:t>
              </w:r>
            </w:hyperlink>
            <w:r w:rsidR="00601E85"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2086" w:type="dxa"/>
          </w:tcPr>
          <w:p w:rsidR="00601E85" w:rsidRPr="00D6785C" w:rsidRDefault="00601E85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 день проведения проверки</w:t>
            </w:r>
          </w:p>
        </w:tc>
        <w:tc>
          <w:tcPr>
            <w:tcW w:w="3002" w:type="dxa"/>
          </w:tcPr>
          <w:p w:rsidR="00601E85" w:rsidRPr="00D6785C" w:rsidRDefault="00601E85" w:rsidP="00D6785C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Х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 функционирования розничных рынков электрической энергии</w:t>
            </w:r>
            <w:r w:rsidRPr="00D6785C">
              <w:rPr>
                <w:rStyle w:val="a6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3"/>
            </w:r>
          </w:p>
        </w:tc>
      </w:tr>
      <w:tr w:rsidR="00601E85" w:rsidRPr="00D6785C" w:rsidTr="00D6785C">
        <w:tc>
          <w:tcPr>
            <w:tcW w:w="890" w:type="dxa"/>
            <w:vMerge/>
          </w:tcPr>
          <w:p w:rsidR="00601E85" w:rsidRPr="002E7CA1" w:rsidRDefault="00601E85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601E85" w:rsidRPr="00D6785C" w:rsidRDefault="00601E85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601E85" w:rsidRPr="00D6785C" w:rsidRDefault="00601E85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2430" w:type="dxa"/>
          </w:tcPr>
          <w:p w:rsidR="00601E85" w:rsidRPr="00D6785C" w:rsidRDefault="00601E85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4.5</w:t>
            </w: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Выдача заявителю Акта о выполнении технических условий в 2 экземплярах</w:t>
            </w:r>
          </w:p>
        </w:tc>
        <w:tc>
          <w:tcPr>
            <w:tcW w:w="2036" w:type="dxa"/>
          </w:tcPr>
          <w:p w:rsidR="00601E85" w:rsidRPr="00D6785C" w:rsidRDefault="00601E85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Акт о выполнении технических условий в письменной форме выдаются заявителю </w:t>
            </w:r>
          </w:p>
        </w:tc>
        <w:tc>
          <w:tcPr>
            <w:tcW w:w="2086" w:type="dxa"/>
          </w:tcPr>
          <w:p w:rsidR="00601E85" w:rsidRPr="00D26658" w:rsidRDefault="00601E85" w:rsidP="00C95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3-дневный срок после проведения осмотра</w:t>
            </w:r>
          </w:p>
          <w:p w:rsidR="00601E85" w:rsidRPr="00D6785C" w:rsidRDefault="00601E85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</w:tcPr>
          <w:p w:rsidR="00601E85" w:rsidRPr="00D6785C" w:rsidRDefault="00601E85" w:rsidP="002E7CA1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01E85" w:rsidRPr="00D6785C" w:rsidTr="00D6785C">
        <w:tc>
          <w:tcPr>
            <w:tcW w:w="890" w:type="dxa"/>
            <w:vMerge/>
          </w:tcPr>
          <w:p w:rsidR="00601E85" w:rsidRPr="002E7CA1" w:rsidRDefault="00601E85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601E85" w:rsidRPr="00D6785C" w:rsidRDefault="00601E85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601E85" w:rsidRPr="00D6785C" w:rsidRDefault="00601E85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601E85" w:rsidRPr="00D6785C" w:rsidRDefault="00601E85" w:rsidP="002E7C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4.6</w:t>
            </w: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601E85" w:rsidRPr="00D6785C" w:rsidRDefault="00601E85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</w:tcPr>
          <w:p w:rsidR="00601E85" w:rsidRPr="00D6785C" w:rsidRDefault="00601E85" w:rsidP="00B52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Подписанный Акт о выполнении технических условий в письменной форме направляется  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2086" w:type="dxa"/>
          </w:tcPr>
          <w:p w:rsidR="00601E85" w:rsidRPr="002E7CA1" w:rsidRDefault="00601E85" w:rsidP="002E7C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CA1">
              <w:rPr>
                <w:rFonts w:ascii="Times New Roman" w:hAnsi="Times New Roman" w:cs="Times New Roman"/>
                <w:sz w:val="20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3002" w:type="dxa"/>
          </w:tcPr>
          <w:p w:rsidR="00601E85" w:rsidRPr="00D6785C" w:rsidRDefault="00601E85" w:rsidP="002E7CA1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6785C" w:rsidRPr="00D6785C" w:rsidTr="00601E85">
        <w:tc>
          <w:tcPr>
            <w:tcW w:w="890" w:type="dxa"/>
            <w:vMerge w:val="restart"/>
          </w:tcPr>
          <w:p w:rsidR="00D6785C" w:rsidRPr="002E7CA1" w:rsidRDefault="00D6785C" w:rsidP="00601E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7C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2" w:type="dxa"/>
            <w:vMerge w:val="restart"/>
          </w:tcPr>
          <w:p w:rsidR="00D6785C" w:rsidRPr="00D6785C" w:rsidRDefault="00D6785C" w:rsidP="002E7C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Присоединение объектов заявителя к электрическим сетям</w:t>
            </w:r>
          </w:p>
        </w:tc>
        <w:tc>
          <w:tcPr>
            <w:tcW w:w="2037" w:type="dxa"/>
          </w:tcPr>
          <w:p w:rsidR="00D6785C" w:rsidRPr="00D6785C" w:rsidRDefault="00D6785C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2036" w:type="dxa"/>
          </w:tcPr>
          <w:p w:rsidR="00D6785C" w:rsidRPr="00D6785C" w:rsidRDefault="00D6785C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D6785C" w:rsidRPr="00D6785C" w:rsidRDefault="00D6785C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3002" w:type="dxa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6785C" w:rsidRPr="00D6785C" w:rsidTr="007D6155">
        <w:tc>
          <w:tcPr>
            <w:tcW w:w="890" w:type="dxa"/>
            <w:vMerge/>
          </w:tcPr>
          <w:p w:rsidR="00D6785C" w:rsidRPr="00D6785C" w:rsidRDefault="00D6785C" w:rsidP="00D67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vAlign w:val="center"/>
          </w:tcPr>
          <w:p w:rsidR="00D6785C" w:rsidRPr="00D6785C" w:rsidRDefault="00D6785C" w:rsidP="007D6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D6785C" w:rsidRPr="00D6785C" w:rsidRDefault="00D6785C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5.2.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сетевой организации и направление (выдача) заявителю: </w:t>
            </w:r>
          </w:p>
          <w:p w:rsidR="00E83353" w:rsidRPr="00D6785C" w:rsidRDefault="00D6785C" w:rsidP="00E83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Акта об осуществлении</w:t>
            </w:r>
            <w:r w:rsidR="00E83353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присоединения</w:t>
            </w:r>
          </w:p>
          <w:p w:rsidR="00D6785C" w:rsidRPr="00D6785C" w:rsidRDefault="00D6785C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:rsidR="00D6785C" w:rsidRPr="00D6785C" w:rsidRDefault="00D6785C" w:rsidP="002E7C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Подписанные со </w:t>
            </w:r>
            <w:r w:rsidR="004517B4">
              <w:rPr>
                <w:rFonts w:ascii="Times New Roman" w:hAnsi="Times New Roman" w:cs="Times New Roman"/>
                <w:sz w:val="20"/>
                <w:szCs w:val="20"/>
              </w:rPr>
              <w:t>стороны сетевой организации Акт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 в письменной форме направляются 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2086" w:type="dxa"/>
          </w:tcPr>
          <w:p w:rsidR="00D6785C" w:rsidRPr="00D6785C" w:rsidRDefault="00D6785C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3002" w:type="dxa"/>
          </w:tcPr>
          <w:p w:rsidR="00D6785C" w:rsidRPr="00D6785C" w:rsidRDefault="00D6785C" w:rsidP="002E7CA1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6785C" w:rsidRPr="00D6785C" w:rsidTr="00D6785C">
        <w:tc>
          <w:tcPr>
            <w:tcW w:w="890" w:type="dxa"/>
            <w:vMerge/>
          </w:tcPr>
          <w:p w:rsidR="00D6785C" w:rsidRPr="00D6785C" w:rsidRDefault="00D6785C" w:rsidP="00D67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</w:tcPr>
          <w:p w:rsidR="00D6785C" w:rsidRPr="00D6785C" w:rsidRDefault="00D6785C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</w:tcPr>
          <w:p w:rsidR="00D6785C" w:rsidRPr="00D6785C" w:rsidRDefault="00D6785C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5.3.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энергосбытовую</w:t>
            </w:r>
            <w:proofErr w:type="spellEnd"/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организацию </w:t>
            </w:r>
          </w:p>
        </w:tc>
        <w:tc>
          <w:tcPr>
            <w:tcW w:w="2036" w:type="dxa"/>
          </w:tcPr>
          <w:p w:rsidR="00D6785C" w:rsidRPr="00D6785C" w:rsidRDefault="00D6785C" w:rsidP="007D61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 письменной или электронной форме</w:t>
            </w:r>
          </w:p>
        </w:tc>
        <w:tc>
          <w:tcPr>
            <w:tcW w:w="2086" w:type="dxa"/>
          </w:tcPr>
          <w:p w:rsidR="00D6785C" w:rsidRPr="00D6785C" w:rsidRDefault="00D6785C" w:rsidP="007D615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3002" w:type="dxa"/>
          </w:tcPr>
          <w:p w:rsidR="00D6785C" w:rsidRPr="00D6785C" w:rsidRDefault="00D6785C" w:rsidP="007D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B90E87" w:rsidRDefault="00B90E87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36247" w:rsidRDefault="00F36247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обращений</w:t>
      </w:r>
    </w:p>
    <w:p w:rsidR="00D6785C" w:rsidRDefault="00D6785C" w:rsidP="00D678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785C" w:rsidRPr="00D6785C" w:rsidRDefault="00D6785C" w:rsidP="00D6785C">
      <w:pP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D6785C">
        <w:rPr>
          <w:rFonts w:ascii="Times New Roman" w:hAnsi="Times New Roman" w:cs="Times New Roman"/>
          <w:sz w:val="24"/>
          <w:szCs w:val="24"/>
        </w:rPr>
        <w:t xml:space="preserve">Адрес офиса ООО «ССК»: </w:t>
      </w:r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660012, Россия, </w:t>
      </w:r>
      <w:proofErr w:type="gramStart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Красноярск,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Судостроительная, 26 «а»</w:t>
      </w:r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</w:t>
      </w:r>
      <w:proofErr w:type="spellEnd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145</w:t>
      </w:r>
    </w:p>
    <w:p w:rsid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sz w:val="24"/>
          <w:szCs w:val="24"/>
        </w:rPr>
        <w:t>Номер контактного телефон</w:t>
      </w:r>
      <w:proofErr w:type="gramStart"/>
      <w:r w:rsidRPr="00D6785C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D6785C">
        <w:rPr>
          <w:rFonts w:ascii="Times New Roman" w:hAnsi="Times New Roman" w:cs="Times New Roman"/>
          <w:sz w:val="24"/>
          <w:szCs w:val="24"/>
        </w:rPr>
        <w:t xml:space="preserve"> «ССК»: </w:t>
      </w:r>
      <w:r w:rsidRPr="00D6785C">
        <w:rPr>
          <w:rFonts w:ascii="Times New Roman" w:hAnsi="Times New Roman" w:cs="Times New Roman"/>
          <w:b/>
          <w:sz w:val="24"/>
          <w:szCs w:val="24"/>
        </w:rPr>
        <w:t>8 (391) 217-80-31</w:t>
      </w: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sz w:val="24"/>
          <w:szCs w:val="24"/>
        </w:rPr>
        <w:t>Адрес электронной почт</w:t>
      </w:r>
      <w:proofErr w:type="gramStart"/>
      <w:r w:rsidRPr="00D6785C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D6785C">
        <w:rPr>
          <w:rFonts w:ascii="Times New Roman" w:hAnsi="Times New Roman" w:cs="Times New Roman"/>
          <w:sz w:val="24"/>
          <w:szCs w:val="24"/>
        </w:rPr>
        <w:t xml:space="preserve"> «ССК»</w:t>
      </w:r>
      <w:r w:rsidRPr="00D678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67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sibsk</w:t>
      </w:r>
      <w:proofErr w:type="spellEnd"/>
      <w:r w:rsidRPr="00D6785C">
        <w:rPr>
          <w:rFonts w:ascii="Times New Roman" w:hAnsi="Times New Roman" w:cs="Times New Roman"/>
          <w:b/>
          <w:sz w:val="24"/>
          <w:szCs w:val="24"/>
        </w:rPr>
        <w:t>24@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D6785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6785C" w:rsidRPr="006A1EBF" w:rsidRDefault="00D6785C" w:rsidP="00D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203D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203D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6785C" w:rsidSect="007D615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160" w:rsidRDefault="006B2160" w:rsidP="006A1EBF">
      <w:pPr>
        <w:spacing w:after="0" w:line="240" w:lineRule="auto"/>
      </w:pPr>
      <w:r>
        <w:separator/>
      </w:r>
    </w:p>
  </w:endnote>
  <w:endnote w:type="continuationSeparator" w:id="0">
    <w:p w:rsidR="006B2160" w:rsidRDefault="006B2160" w:rsidP="006A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160" w:rsidRDefault="006B2160" w:rsidP="006A1EBF">
      <w:pPr>
        <w:spacing w:after="0" w:line="240" w:lineRule="auto"/>
      </w:pPr>
      <w:r>
        <w:separator/>
      </w:r>
    </w:p>
  </w:footnote>
  <w:footnote w:type="continuationSeparator" w:id="0">
    <w:p w:rsidR="006B2160" w:rsidRDefault="006B2160" w:rsidP="006A1EBF">
      <w:pPr>
        <w:spacing w:after="0" w:line="240" w:lineRule="auto"/>
      </w:pPr>
      <w:r>
        <w:continuationSeparator/>
      </w:r>
    </w:p>
  </w:footnote>
  <w:footnote w:id="1">
    <w:p w:rsidR="00383433" w:rsidRPr="00166A53" w:rsidRDefault="00383433" w:rsidP="003834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6A53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Размер платы за технологическое присоединение</w:t>
      </w:r>
      <w:r w:rsidRPr="00166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размещен в разделе</w:t>
      </w:r>
      <w:r w:rsidRPr="00B90E87">
        <w:rPr>
          <w:rFonts w:ascii="Times New Roman" w:hAnsi="Times New Roman" w:cs="Times New Roman"/>
          <w:sz w:val="24"/>
          <w:szCs w:val="24"/>
        </w:rPr>
        <w:t xml:space="preserve"> </w:t>
      </w:r>
      <w:r w:rsidRPr="00166A5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Тарифы»</w:t>
      </w:r>
      <w:r w:rsidRPr="00B90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«Плата за технологическое присоединение к электрическим сетям</w:t>
      </w:r>
      <w:r w:rsidRPr="00166A53">
        <w:rPr>
          <w:rFonts w:ascii="Times New Roman" w:hAnsi="Times New Roman" w:cs="Times New Roman"/>
          <w:sz w:val="24"/>
          <w:szCs w:val="24"/>
        </w:rPr>
        <w:t>» на</w:t>
      </w:r>
      <w:r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Pr="00166A53">
        <w:rPr>
          <w:rFonts w:ascii="Times New Roman" w:hAnsi="Times New Roman" w:cs="Times New Roman"/>
          <w:sz w:val="24"/>
          <w:szCs w:val="24"/>
        </w:rPr>
        <w:t xml:space="preserve"> сайте компании </w:t>
      </w:r>
      <w:r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90E8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sibsk</w:t>
      </w:r>
      <w:proofErr w:type="spellEnd"/>
      <w:r w:rsidRPr="00B90E87">
        <w:rPr>
          <w:rFonts w:ascii="Times New Roman" w:hAnsi="Times New Roman" w:cs="Times New Roman"/>
          <w:sz w:val="24"/>
          <w:szCs w:val="24"/>
        </w:rPr>
        <w:t>24.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66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160" w:rsidRPr="00872E55" w:rsidRDefault="006B2160" w:rsidP="009952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2">
    <w:p w:rsidR="006B2160" w:rsidRPr="00166A53" w:rsidRDefault="006B2160" w:rsidP="00D6785C">
      <w:pPr>
        <w:pStyle w:val="a4"/>
        <w:rPr>
          <w:rFonts w:ascii="Times New Roman" w:hAnsi="Times New Roman" w:cs="Times New Roman"/>
          <w:sz w:val="24"/>
          <w:szCs w:val="24"/>
        </w:rPr>
      </w:pPr>
      <w:r w:rsidRPr="00166A5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66A53">
        <w:rPr>
          <w:rFonts w:ascii="Times New Roman" w:hAnsi="Times New Roman" w:cs="Times New Roman"/>
          <w:sz w:val="24"/>
          <w:szCs w:val="24"/>
        </w:rPr>
        <w:t xml:space="preserve"> Правила технологического присоединения </w:t>
      </w:r>
      <w:proofErr w:type="spellStart"/>
      <w:r w:rsidRPr="00166A5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166A53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166A53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166A53">
        <w:rPr>
          <w:rFonts w:ascii="Times New Roman" w:hAnsi="Times New Roman" w:cs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3">
    <w:p w:rsidR="00601E85" w:rsidRPr="00166A53" w:rsidRDefault="00601E85" w:rsidP="006A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A5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66A53">
        <w:rPr>
          <w:rFonts w:ascii="Times New Roman" w:hAnsi="Times New Roman" w:cs="Times New Roman"/>
          <w:sz w:val="24"/>
          <w:szCs w:val="24"/>
        </w:rPr>
        <w:t xml:space="preserve"> </w:t>
      </w:r>
      <w:r w:rsidRPr="0016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166A53"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EBF"/>
    <w:rsid w:val="00091676"/>
    <w:rsid w:val="000D0B23"/>
    <w:rsid w:val="0010483D"/>
    <w:rsid w:val="001114AC"/>
    <w:rsid w:val="00173996"/>
    <w:rsid w:val="001C5A23"/>
    <w:rsid w:val="00203DD4"/>
    <w:rsid w:val="00213848"/>
    <w:rsid w:val="002426F1"/>
    <w:rsid w:val="00271125"/>
    <w:rsid w:val="002D7B3E"/>
    <w:rsid w:val="002E7CA1"/>
    <w:rsid w:val="00310A5B"/>
    <w:rsid w:val="00383433"/>
    <w:rsid w:val="003B7AE4"/>
    <w:rsid w:val="004517B4"/>
    <w:rsid w:val="00531B12"/>
    <w:rsid w:val="005A0F67"/>
    <w:rsid w:val="005B2F93"/>
    <w:rsid w:val="00601E85"/>
    <w:rsid w:val="00606879"/>
    <w:rsid w:val="006A1EBF"/>
    <w:rsid w:val="006B2160"/>
    <w:rsid w:val="006E7BA0"/>
    <w:rsid w:val="00701A7D"/>
    <w:rsid w:val="0073103E"/>
    <w:rsid w:val="00731A02"/>
    <w:rsid w:val="007D6155"/>
    <w:rsid w:val="0081723F"/>
    <w:rsid w:val="00856B46"/>
    <w:rsid w:val="00885F39"/>
    <w:rsid w:val="00920500"/>
    <w:rsid w:val="00944693"/>
    <w:rsid w:val="009952FA"/>
    <w:rsid w:val="00AB24E7"/>
    <w:rsid w:val="00AE686B"/>
    <w:rsid w:val="00B529FD"/>
    <w:rsid w:val="00B67D17"/>
    <w:rsid w:val="00B90E87"/>
    <w:rsid w:val="00C01746"/>
    <w:rsid w:val="00C01AB7"/>
    <w:rsid w:val="00C26E81"/>
    <w:rsid w:val="00C52523"/>
    <w:rsid w:val="00C57B96"/>
    <w:rsid w:val="00C63D4D"/>
    <w:rsid w:val="00C66981"/>
    <w:rsid w:val="00C95425"/>
    <w:rsid w:val="00CC12BA"/>
    <w:rsid w:val="00CE2BF9"/>
    <w:rsid w:val="00D453A5"/>
    <w:rsid w:val="00D6785C"/>
    <w:rsid w:val="00D94179"/>
    <w:rsid w:val="00DE0B6D"/>
    <w:rsid w:val="00E0478F"/>
    <w:rsid w:val="00E15EEC"/>
    <w:rsid w:val="00E83353"/>
    <w:rsid w:val="00EC5F5A"/>
    <w:rsid w:val="00ED53F8"/>
    <w:rsid w:val="00EF0DEE"/>
    <w:rsid w:val="00F27F57"/>
    <w:rsid w:val="00F36247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BF"/>
  </w:style>
  <w:style w:type="paragraph" w:styleId="1">
    <w:name w:val="heading 1"/>
    <w:basedOn w:val="a"/>
    <w:next w:val="a"/>
    <w:link w:val="10"/>
    <w:uiPriority w:val="9"/>
    <w:qFormat/>
    <w:rsid w:val="006A1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6A1E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A1EB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6A1EB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A1EBF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6A1EBF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6A1E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7">
    <w:name w:val="Hyperlink"/>
    <w:basedOn w:val="a0"/>
    <w:uiPriority w:val="99"/>
    <w:unhideWhenUsed/>
    <w:rsid w:val="006A1EBF"/>
    <w:rPr>
      <w:color w:val="0000FF"/>
      <w:u w:val="single"/>
    </w:rPr>
  </w:style>
  <w:style w:type="table" w:styleId="a8">
    <w:name w:val="Table Grid"/>
    <w:basedOn w:val="a1"/>
    <w:uiPriority w:val="59"/>
    <w:rsid w:val="00D6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8756D-B8F2-43E5-A786-AEEA8A9F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dcterms:created xsi:type="dcterms:W3CDTF">2017-10-10T04:14:00Z</dcterms:created>
  <dcterms:modified xsi:type="dcterms:W3CDTF">2017-10-14T07:05:00Z</dcterms:modified>
</cp:coreProperties>
</file>